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35" w:rsidRPr="00A95035" w:rsidRDefault="00A95035" w:rsidP="00A95035">
      <w:pPr>
        <w:jc w:val="both"/>
        <w:rPr>
          <w:rFonts w:ascii="Arial" w:hAnsi="Arial" w:cs="Arial"/>
        </w:rPr>
      </w:pPr>
    </w:p>
    <w:p w:rsidR="00A95035" w:rsidRPr="00A95035" w:rsidRDefault="00A95035" w:rsidP="00A95035">
      <w:pPr>
        <w:jc w:val="center"/>
        <w:rPr>
          <w:rFonts w:ascii="Arial" w:hAnsi="Arial" w:cs="Arial"/>
          <w:b/>
        </w:rPr>
      </w:pPr>
      <w:r w:rsidRPr="00A95035">
        <w:rPr>
          <w:rFonts w:ascii="Arial" w:hAnsi="Arial" w:cs="Arial"/>
          <w:b/>
        </w:rPr>
        <w:t>ТАНИЛЦУУЛГА</w:t>
      </w:r>
    </w:p>
    <w:p w:rsidR="00A95035" w:rsidRPr="00A95035" w:rsidRDefault="00A95035" w:rsidP="00A95035">
      <w:pPr>
        <w:jc w:val="both"/>
        <w:rPr>
          <w:rFonts w:ascii="Arial" w:hAnsi="Arial" w:cs="Arial"/>
        </w:rPr>
      </w:pPr>
    </w:p>
    <w:p w:rsidR="00A95035" w:rsidRPr="00A95035" w:rsidRDefault="00A95035" w:rsidP="00A95035">
      <w:pPr>
        <w:ind w:left="5040"/>
        <w:jc w:val="both"/>
        <w:rPr>
          <w:rFonts w:ascii="Arial" w:hAnsi="Arial" w:cs="Arial"/>
        </w:rPr>
      </w:pPr>
      <w:r w:rsidRPr="00A95035">
        <w:rPr>
          <w:rFonts w:ascii="Arial" w:hAnsi="Arial" w:cs="Arial"/>
        </w:rPr>
        <w:t>Төрөлжсөн асрамжийн үйлчилгээний хэрэгжилттэй холбоотой журмуудын төслийн  талаар</w:t>
      </w:r>
    </w:p>
    <w:p w:rsidR="00A95035" w:rsidRPr="00A95035" w:rsidRDefault="00A95035" w:rsidP="00A95035">
      <w:pPr>
        <w:jc w:val="both"/>
        <w:rPr>
          <w:rFonts w:ascii="Arial" w:hAnsi="Arial" w:cs="Arial"/>
        </w:rPr>
      </w:pPr>
    </w:p>
    <w:p w:rsidR="00A95035" w:rsidRPr="00A95035" w:rsidRDefault="00A95035" w:rsidP="00A95035">
      <w:pPr>
        <w:ind w:firstLine="720"/>
        <w:jc w:val="both"/>
        <w:rPr>
          <w:rFonts w:ascii="Arial" w:hAnsi="Arial" w:cs="Arial"/>
        </w:rPr>
      </w:pPr>
      <w:r w:rsidRPr="00A95035">
        <w:rPr>
          <w:rFonts w:ascii="Arial" w:hAnsi="Arial" w:cs="Arial"/>
        </w:rPr>
        <w:t xml:space="preserve">Нийгмийн халамжийн тухай </w:t>
      </w:r>
      <w:r w:rsidR="00B0439A">
        <w:rPr>
          <w:rFonts w:ascii="Arial" w:hAnsi="Arial" w:cs="Arial"/>
          <w:lang w:val="mn-MN"/>
        </w:rPr>
        <w:t xml:space="preserve">хуулийн </w:t>
      </w:r>
      <w:bookmarkStart w:id="0" w:name="_GoBack"/>
      <w:bookmarkEnd w:id="0"/>
      <w:r w:rsidRPr="00A95035">
        <w:rPr>
          <w:rFonts w:ascii="Arial" w:hAnsi="Arial" w:cs="Arial"/>
        </w:rPr>
        <w:t>19 дүгээр зүйлд заасан төрөлжсөн асрамжийн үйлчилгээнд тэжээн тэтгэх хүүхэдгүй, бие даан амьдрах чадваргүй ганц бие, эсхүл тэжээн тэтгэх хүүхэд нь ахмад настан, хөгжлийн бэрхшээлтэй иргэн,  Гэр бүлийн тухай хуулийн 25.5-д заасан болон байнгын асрамжид байдаг хөгжлийн бэрхшээлтэй 18 хүртэлх насны хүүхэд, улсын зардлаар төрөлжсөн асрамжийн газар асрамжлан өсгөхийг эцэг, эх нь зөвшөөрсөн дөрөв хүртэлх насны гурав ба түүнээс дээш ихэр хүүхдийг хамруулахаар тусгасан.</w:t>
      </w:r>
    </w:p>
    <w:p w:rsidR="00A95035" w:rsidRPr="00A95035" w:rsidRDefault="00A95035" w:rsidP="00A95035">
      <w:pPr>
        <w:ind w:firstLine="720"/>
        <w:jc w:val="both"/>
        <w:rPr>
          <w:rFonts w:ascii="Arial" w:hAnsi="Arial" w:cs="Arial"/>
        </w:rPr>
      </w:pPr>
      <w:r w:rsidRPr="00A95035">
        <w:rPr>
          <w:rFonts w:ascii="Arial" w:hAnsi="Arial" w:cs="Arial"/>
        </w:rPr>
        <w:t>Мөн хуулийн 19 дүгээр зүйлийн 19.7, 19.8-д төрөлжсөн асрамжийн үйлчилгээнд иргэнийг хамруулах, асрамжийн үйлчилгээ үзүүлэх байгууллагыг магадлан итгэмжлэх, асрамжийн үйлчилгээнд хамрагдаж байгаа иргэний тэтгэврийн 70 хувийг өөрт, 30 хувийг асрамжийн газарт авах журмуудыг нийгмийн халамжийн асуудал эрхэлсэн Засгийн газрын гишүүн батлахаар заасан.</w:t>
      </w:r>
    </w:p>
    <w:p w:rsidR="00A95035" w:rsidRPr="00A95035" w:rsidRDefault="00A95035" w:rsidP="00A95035">
      <w:pPr>
        <w:ind w:firstLine="720"/>
        <w:jc w:val="both"/>
        <w:rPr>
          <w:rFonts w:ascii="Arial" w:hAnsi="Arial" w:cs="Arial"/>
        </w:rPr>
      </w:pPr>
      <w:r w:rsidRPr="00A95035">
        <w:rPr>
          <w:rFonts w:ascii="Arial" w:hAnsi="Arial" w:cs="Arial"/>
        </w:rPr>
        <w:t>Үүний дагуу Хүн амын хөгжил, нийгмийн хамгааллын сайд /хуучин нэрээр/ -ын 2013 оны А/97 дугаар тушаалаар Төрөлжсөн асрамжийн газарт ахмад настан, хөгжлийн бэрхшээлтэй иргэнийг хүлээн авах, шилжүүлэх, гаргах журам”, “Төрөлжсөн асрамжийн газрын төсвийг бүрдүүлэх, зарцуулах, түүнд хяналт тавих журам”, “Төрөлжсөн асрамжийн газрыг магадлан итгэмжлэх, ажил, үйлчилгээ явуулах эрх олгох журам”, 2013 оны А/ 156 дугаар  тушаалаар  “Төрөлжсөн асрамжийн үйлчилгээнд хамрагдаж байгаа ахмад настан, 18 ба түүнээс дээш насны хөгжлийн бэрхшээлтэй иргэнд тэтгэвэр олгох журам”-ыг тус тус батлан мөрдөж байна.</w:t>
      </w:r>
    </w:p>
    <w:p w:rsidR="00A95035" w:rsidRPr="00A95035" w:rsidRDefault="00A95035" w:rsidP="00A95035">
      <w:pPr>
        <w:ind w:firstLine="720"/>
        <w:jc w:val="both"/>
        <w:rPr>
          <w:rFonts w:ascii="Arial" w:hAnsi="Arial" w:cs="Arial"/>
        </w:rPr>
      </w:pPr>
      <w:r w:rsidRPr="00A95035">
        <w:rPr>
          <w:rFonts w:ascii="Arial" w:hAnsi="Arial" w:cs="Arial"/>
        </w:rPr>
        <w:t>Журмуудад ахмад настан, хөгжлийн бэрхшээлтэй иргэнийг асрамжийн газарт хүлээн авах, шилжүүлэх, гаргах процесс,  улс, орон нутгийн төсөвт асрамжийн газруудын төсвийг бүрдүүлэх, санхүүжүүлэх, зарцуулах, хяналт тавих,  Ахмад настны асрамжийн үйлчилгээнд тавих нийтлэг шаардлага MNS 5823:2016, Хөгжлийн бэрхшээлтэй иргэний асрамжийн үйлчилгээнд тавих нийтлэг шаардлага MNS 5798:2016 Монгол Улсын стандартын шаардлагыг хангасан асрамжийн газруудыг Хөдөлмөр, халамжийн үйлчилгээний ерөнхий газрын дэргэдэх Орон тооны бус Зөвлөл магадлан итгэмжилж, ажил үйлчилгээ явуулах эрх олгох, сунгах, цуцлах, мөн асрамжийн үйлчилгээнд хамрагдаж байгаа 18 насанд хүрсэн хөгжлийн бэрхшээлтэй иргэнд тэтгэвэрийн 30 хувийг асрамжийн газарт төвлөрүүлэн зарцуулах зэрэг асуудлыг тусгасан.</w:t>
      </w:r>
    </w:p>
    <w:p w:rsidR="00A95035" w:rsidRPr="00A95035" w:rsidRDefault="00A95035" w:rsidP="00A95035">
      <w:pPr>
        <w:ind w:firstLine="720"/>
        <w:jc w:val="both"/>
        <w:rPr>
          <w:rFonts w:ascii="Arial" w:hAnsi="Arial" w:cs="Arial"/>
        </w:rPr>
      </w:pPr>
      <w:r w:rsidRPr="00A95035">
        <w:rPr>
          <w:rFonts w:ascii="Arial" w:hAnsi="Arial" w:cs="Arial"/>
        </w:rPr>
        <w:t xml:space="preserve">Харин Нийгмийн халамжийн тухай хуулийн 19.1.3, 19.1.4-т заасан хүнд нөхцөлд байгаа 18 хүртэлх насны хүүхэд,  0-4 хүртэлх насны 3 ба түүнээс дээш ихэр хүүхдийг асрамжийн үйлчилгээнд хамруулах, хүүхдийн асрамжийн газруудыг магадлан итгэмжлэх үйл явц, асрамжийн газрын төсвийн асуудал нь ахмад, хөгжлийн бэрхшээлтэй иргэний асрамжийн газрынхаас ялгаатай бөгөөд оролцогч талуудын хүрээ өргөн, хэрэгжилтийг удирдах зохицуулах байгууллагын хувьд Гэр бүл, хүүхдийн асуудал хариуцсан төрийн захиргааны байгууллагад хамааралтай байдаг. </w:t>
      </w:r>
    </w:p>
    <w:p w:rsidR="00A95035" w:rsidRPr="00A95035" w:rsidRDefault="00A95035" w:rsidP="00A95035">
      <w:pPr>
        <w:ind w:firstLine="720"/>
        <w:jc w:val="both"/>
        <w:rPr>
          <w:rFonts w:ascii="Arial" w:hAnsi="Arial" w:cs="Arial"/>
        </w:rPr>
      </w:pPr>
      <w:r w:rsidRPr="00A95035">
        <w:rPr>
          <w:rFonts w:ascii="Arial" w:hAnsi="Arial" w:cs="Arial"/>
        </w:rPr>
        <w:t>Түүнчлэн УИХ-д өргөн барьсан Хүүхэд хамгааллын хууль, түүнийг дагаж нэмэлт, өөрчлөлт оруулах тухай хуулийн хүрээнд хүүхдийн асрамж, халамжийн төвийн үйлчилгээ, хүүхэд асрах хувилбарт үйлчилгээтэй холбоотой зохицуулалтууд тодорхой тугсагдан, өөрчлөлт орж байгаа тул холбогдох журмуудыг тусад нь ХНХС-ын тушаалаар батлуулах нь зүйтэй гэж үзсэн болно.</w:t>
      </w:r>
    </w:p>
    <w:p w:rsidR="00A95035" w:rsidRPr="00A95035" w:rsidRDefault="00A95035" w:rsidP="00A95035">
      <w:pPr>
        <w:ind w:firstLine="720"/>
        <w:jc w:val="both"/>
        <w:rPr>
          <w:rFonts w:ascii="Arial" w:hAnsi="Arial" w:cs="Arial"/>
        </w:rPr>
      </w:pPr>
      <w:r w:rsidRPr="00A95035">
        <w:rPr>
          <w:rFonts w:ascii="Arial" w:hAnsi="Arial" w:cs="Arial"/>
        </w:rPr>
        <w:lastRenderedPageBreak/>
        <w:t>Энэхүү  “Журам шинэчлэн батлах тухай” ХНХ-ын сайдын тушаал батлагдснаар асрамжийн үйлчилгээнд хамрагдаж байгаа ахмад настан хөгжлийн бэрхшээлтэй иргэд, тэдэнд үйлчилгээ үзүүлж байгаа улс, орон нутгийн асрамжийн газрууд, орон нутгийн Засаг захиргааны байгууллага, нийгмийн халамжийн үйлчилгээний байгууллагууд дээрх журмуудыг үйл ажиллагаандаа мөрдөх юм.</w:t>
      </w:r>
    </w:p>
    <w:p w:rsidR="00A95035" w:rsidRPr="00A95035" w:rsidRDefault="00A95035" w:rsidP="00A95035">
      <w:pPr>
        <w:jc w:val="both"/>
        <w:rPr>
          <w:rFonts w:ascii="Arial" w:hAnsi="Arial" w:cs="Arial"/>
        </w:rPr>
      </w:pPr>
    </w:p>
    <w:p w:rsidR="00A95035" w:rsidRPr="00A95035" w:rsidRDefault="00A95035" w:rsidP="00A95035">
      <w:pPr>
        <w:jc w:val="both"/>
        <w:rPr>
          <w:rFonts w:ascii="Arial" w:hAnsi="Arial" w:cs="Arial"/>
        </w:rPr>
      </w:pPr>
      <w:r w:rsidRPr="00A95035">
        <w:rPr>
          <w:rFonts w:ascii="Arial" w:hAnsi="Arial" w:cs="Arial"/>
        </w:rPr>
        <w:tab/>
      </w:r>
      <w:r w:rsidRPr="00A95035">
        <w:rPr>
          <w:rFonts w:ascii="Arial" w:hAnsi="Arial" w:cs="Arial"/>
        </w:rPr>
        <w:tab/>
      </w:r>
      <w:r w:rsidRPr="00A95035">
        <w:rPr>
          <w:rFonts w:ascii="Arial" w:hAnsi="Arial" w:cs="Arial"/>
        </w:rPr>
        <w:tab/>
      </w:r>
      <w:r w:rsidRPr="00A95035">
        <w:rPr>
          <w:rFonts w:ascii="Arial" w:hAnsi="Arial" w:cs="Arial"/>
        </w:rPr>
        <w:tab/>
      </w:r>
      <w:r w:rsidRPr="00A95035">
        <w:rPr>
          <w:rFonts w:ascii="Arial" w:hAnsi="Arial" w:cs="Arial"/>
        </w:rPr>
        <w:tab/>
        <w:t>----oOo----</w:t>
      </w:r>
    </w:p>
    <w:p w:rsidR="00A95035" w:rsidRPr="00A95035" w:rsidRDefault="00A95035" w:rsidP="00A95035">
      <w:pPr>
        <w:jc w:val="both"/>
        <w:rPr>
          <w:rFonts w:ascii="Arial" w:hAnsi="Arial" w:cs="Arial"/>
        </w:rPr>
      </w:pPr>
    </w:p>
    <w:p w:rsidR="00A95035" w:rsidRPr="00A95035" w:rsidRDefault="00A95035" w:rsidP="00A95035">
      <w:pPr>
        <w:jc w:val="both"/>
        <w:rPr>
          <w:rFonts w:ascii="Arial" w:hAnsi="Arial" w:cs="Arial"/>
        </w:rPr>
      </w:pPr>
    </w:p>
    <w:p w:rsidR="00A95035" w:rsidRPr="00A95035" w:rsidRDefault="00A95035" w:rsidP="00A95035">
      <w:pPr>
        <w:jc w:val="both"/>
        <w:rPr>
          <w:rFonts w:ascii="Arial" w:hAnsi="Arial" w:cs="Arial"/>
        </w:rPr>
      </w:pPr>
    </w:p>
    <w:p w:rsidR="007B788A" w:rsidRPr="00A95035" w:rsidRDefault="002B6573" w:rsidP="00A95035">
      <w:pPr>
        <w:jc w:val="both"/>
        <w:rPr>
          <w:rFonts w:ascii="Arial" w:hAnsi="Arial" w:cs="Arial"/>
        </w:rPr>
      </w:pPr>
    </w:p>
    <w:sectPr w:rsidR="007B788A" w:rsidRPr="00A95035" w:rsidSect="00B37532">
      <w:headerReference w:type="even" r:id="rId6"/>
      <w:headerReference w:type="default" r:id="rId7"/>
      <w:footerReference w:type="even" r:id="rId8"/>
      <w:footerReference w:type="default" r:id="rId9"/>
      <w:headerReference w:type="first" r:id="rId10"/>
      <w:footerReference w:type="first" r:id="rId11"/>
      <w:pgSz w:w="12240" w:h="15840"/>
      <w:pgMar w:top="450" w:right="72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73" w:rsidRDefault="002B6573" w:rsidP="00A95035">
      <w:pPr>
        <w:spacing w:after="0" w:line="240" w:lineRule="auto"/>
      </w:pPr>
      <w:r>
        <w:separator/>
      </w:r>
    </w:p>
  </w:endnote>
  <w:endnote w:type="continuationSeparator" w:id="0">
    <w:p w:rsidR="002B6573" w:rsidRDefault="002B6573" w:rsidP="00A9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35" w:rsidRDefault="00A950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35" w:rsidRDefault="00A950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35" w:rsidRDefault="00A95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73" w:rsidRDefault="002B6573" w:rsidP="00A95035">
      <w:pPr>
        <w:spacing w:after="0" w:line="240" w:lineRule="auto"/>
      </w:pPr>
      <w:r>
        <w:separator/>
      </w:r>
    </w:p>
  </w:footnote>
  <w:footnote w:type="continuationSeparator" w:id="0">
    <w:p w:rsidR="002B6573" w:rsidRDefault="002B6573" w:rsidP="00A9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35" w:rsidRDefault="00A950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42524"/>
      <w:docPartObj>
        <w:docPartGallery w:val="Watermarks"/>
        <w:docPartUnique/>
      </w:docPartObj>
    </w:sdtPr>
    <w:sdtEndPr/>
    <w:sdtContent>
      <w:p w:rsidR="00A95035" w:rsidRDefault="002B65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35" w:rsidRDefault="00A95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35"/>
    <w:rsid w:val="002B6573"/>
    <w:rsid w:val="00432330"/>
    <w:rsid w:val="0060590C"/>
    <w:rsid w:val="00A95035"/>
    <w:rsid w:val="00B0439A"/>
    <w:rsid w:val="00B259D7"/>
    <w:rsid w:val="00B37532"/>
    <w:rsid w:val="00C6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D1930"/>
  <w15:chartTrackingRefBased/>
  <w15:docId w15:val="{16B29629-A2D0-479A-898C-8F222F24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35"/>
  </w:style>
  <w:style w:type="paragraph" w:styleId="Footer">
    <w:name w:val="footer"/>
    <w:basedOn w:val="Normal"/>
    <w:link w:val="FooterChar"/>
    <w:uiPriority w:val="99"/>
    <w:unhideWhenUsed/>
    <w:rsid w:val="00A9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2023-11-09T03:39:00Z</dcterms:created>
  <dcterms:modified xsi:type="dcterms:W3CDTF">2023-11-09T06:21:00Z</dcterms:modified>
</cp:coreProperties>
</file>